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58B49" w14:textId="77777777" w:rsidR="009A5070" w:rsidRDefault="00000000">
      <w:pPr>
        <w:spacing w:after="240"/>
        <w:jc w:val="center"/>
      </w:pPr>
      <w:r>
        <w:rPr>
          <w:b/>
          <w:sz w:val="26"/>
        </w:rPr>
        <w:t>SAMPLE MUNICIPAL RECIPROCAL RESOLUTION FOR PARTICIPATING MUNICIPALITIES</w:t>
      </w:r>
    </w:p>
    <w:p w14:paraId="0E7D288B" w14:textId="77777777" w:rsidR="009A5070" w:rsidRDefault="00000000">
      <w:pPr>
        <w:spacing w:after="360"/>
        <w:jc w:val="center"/>
      </w:pPr>
      <w:r>
        <w:rPr>
          <w:b/>
        </w:rPr>
        <w:t>[TOWN / VILLAGE / CITY] OF _______________________</w:t>
      </w:r>
      <w:r>
        <w:rPr>
          <w:b/>
        </w:rPr>
        <w:br/>
        <w:t>RESOLUTION NO. ______ OF 2026</w:t>
      </w:r>
      <w:r>
        <w:rPr>
          <w:b/>
        </w:rPr>
        <w:br/>
      </w:r>
      <w:r>
        <w:rPr>
          <w:b/>
        </w:rPr>
        <w:br/>
        <w:t>RESOLUTION ADOPTING THE REVISED GENERAL MUNICIPAL LAW § 239-M REFERRAL EXEMPTION FRAMEWORK AND AUTHORIZING AN INTERMUNICIPAL AGREEMENT WITH JEFFERSON COUNTY</w:t>
      </w:r>
    </w:p>
    <w:p w14:paraId="728918BC" w14:textId="77777777" w:rsidR="009A5070" w:rsidRDefault="00000000">
      <w:pPr>
        <w:spacing w:after="120"/>
        <w:jc w:val="both"/>
      </w:pPr>
      <w:r>
        <w:rPr>
          <w:b/>
        </w:rPr>
        <w:t xml:space="preserve">WHEREAS, </w:t>
      </w:r>
      <w:r>
        <w:t>New York State General Municipal Law (GML) § 239-m requires local municipal planning boards, zoning boards of appeals, and town/village/city boards to refer certain land use, planning, and zoning actions located within 500 feet of specified features—including state or county roads, municipal boundaries, and certified agricultural districts—to the county planning agency for review and recommendation; and</w:t>
      </w:r>
    </w:p>
    <w:p w14:paraId="1086E600" w14:textId="77777777" w:rsidR="009A5070" w:rsidRDefault="00000000">
      <w:pPr>
        <w:spacing w:after="120"/>
        <w:jc w:val="both"/>
      </w:pPr>
      <w:r>
        <w:rPr>
          <w:b/>
        </w:rPr>
        <w:t xml:space="preserve">WHEREAS, </w:t>
      </w:r>
      <w:r>
        <w:t>GML § 239-m(3)(c) explicitly provides that a county legislative body and a municipal governing body may enter into an agreement identifying classes of actions that are primarily of local concern and therefore exempt from regional referral requirements; and</w:t>
      </w:r>
    </w:p>
    <w:p w14:paraId="223251AA" w14:textId="77777777" w:rsidR="009A5070" w:rsidRDefault="00000000">
      <w:pPr>
        <w:spacing w:after="120"/>
        <w:jc w:val="both"/>
      </w:pPr>
      <w:r>
        <w:rPr>
          <w:b/>
        </w:rPr>
        <w:t xml:space="preserve">WHEREAS, </w:t>
      </w:r>
      <w:r>
        <w:t>the Jefferson County Board of Legislators, on July 7, 2026, duly adopted Resolution No. 204, approving a revised General Municipal Law § 239-M Referral Exemption Framework aimed at reducing bureaucratic red tape, eliminating unnecessary administrative delays, and streamlining local economic development for land use matters that are of purely local concern; and</w:t>
      </w:r>
    </w:p>
    <w:p w14:paraId="7F739B0E" w14:textId="77777777" w:rsidR="009A5070" w:rsidRDefault="00000000">
      <w:pPr>
        <w:spacing w:after="120"/>
        <w:jc w:val="both"/>
      </w:pPr>
      <w:r>
        <w:rPr>
          <w:b/>
        </w:rPr>
        <w:t xml:space="preserve">WHEREAS, </w:t>
      </w:r>
      <w:r>
        <w:t>the Jefferson County Board of Legislators has authorized the Chairman of the Board of Legislators to execute reciprocal intermunicipal agreements with participating local municipalities within Jefferson County to implement this 2026 framework at no cost to the County, subject to each participating municipality's adoption of a corresponding resolution; and</w:t>
      </w:r>
    </w:p>
    <w:p w14:paraId="1110600D" w14:textId="77777777" w:rsidR="009A5070" w:rsidRDefault="00000000">
      <w:pPr>
        <w:spacing w:after="120"/>
        <w:jc w:val="both"/>
      </w:pPr>
      <w:r>
        <w:rPr>
          <w:b/>
        </w:rPr>
        <w:t xml:space="preserve">WHEREAS, </w:t>
      </w:r>
      <w:r>
        <w:t>the [Town Board / Village Board / City Council] of the [Insert Municipality Name] finds that adopting this reciprocal exemption list will significantly increase local administrative efficiency and expedite routine zoning reviews while ensuring that critical regional assets, such as state/county highway access, municipal boundaries, and airport safety zones, remain fully protected under county-level review;</w:t>
      </w:r>
    </w:p>
    <w:p w14:paraId="3C417EDB" w14:textId="77777777" w:rsidR="009A5070" w:rsidRDefault="00000000">
      <w:pPr>
        <w:spacing w:after="120"/>
        <w:jc w:val="both"/>
      </w:pPr>
      <w:r>
        <w:rPr>
          <w:b/>
        </w:rPr>
        <w:t xml:space="preserve">NOW, THEREFORE, BE IT RESOLVED, </w:t>
      </w:r>
      <w:r>
        <w:t>that the [Town Board / Village Board / City Council] of the [Insert Municipality Name] hereby adopts and approves the 2026 Updated Section 239-M Referral Exemption Framework, whereby the following specific categories of local planning, zoning, and land use actions shall be exempt from mandatory referral to the Jefferson County Planning Board, subject to the conditions and exceptions set forth herein:</w:t>
      </w:r>
    </w:p>
    <w:p w14:paraId="37AC70E0" w14:textId="77777777" w:rsidR="009A5070" w:rsidRDefault="00000000">
      <w:pPr>
        <w:spacing w:after="80"/>
        <w:ind w:left="720"/>
      </w:pPr>
      <w:r>
        <w:rPr>
          <w:b/>
        </w:rPr>
        <w:t xml:space="preserve">(1) Small-Scale Nonresidential Development: </w:t>
      </w:r>
      <w:r>
        <w:t xml:space="preserve">Site plans or special permits for nonresidential structures under 2,000 square feet (threshold increased to 5,000 square feet within municipalities employing staff planners), provided that the project: does not include a drive-through or fuel pumps; does not create a new curb cut on a state or </w:t>
      </w:r>
      <w:r>
        <w:lastRenderedPageBreak/>
        <w:t>county road; does not involve outdoor storage or processing; does not involve towers or energy facilities; and the parcel is not located within 500 feet of a municipal boundary.</w:t>
      </w:r>
    </w:p>
    <w:p w14:paraId="6D7308A1" w14:textId="77777777" w:rsidR="009A5070" w:rsidRDefault="00000000">
      <w:pPr>
        <w:spacing w:after="80"/>
        <w:ind w:left="720"/>
      </w:pPr>
      <w:r>
        <w:rPr>
          <w:b/>
        </w:rPr>
        <w:t xml:space="preserve">(2) Area Variances for Permitted Uses: </w:t>
      </w:r>
      <w:r>
        <w:t>Area variances for permitted uses, provided that the variance: does not involve building/structure height; does not affect access to a state or county road; does not occur adjacent to a municipal boundary; and does not affect airport compatibility (FAA or DOD Part 77) imaginary surfaces.</w:t>
      </w:r>
    </w:p>
    <w:p w14:paraId="711EFEB9" w14:textId="77777777" w:rsidR="009A5070" w:rsidRDefault="00000000">
      <w:pPr>
        <w:spacing w:after="80"/>
        <w:ind w:left="720"/>
      </w:pPr>
      <w:r>
        <w:rPr>
          <w:b/>
        </w:rPr>
        <w:t xml:space="preserve">(3) Signage: </w:t>
      </w:r>
      <w:r>
        <w:t>Site plans, special permits, or variances for signs, provided that: the sign is not located within 100 feet of an intersection with a state or county roadway; or the sign does not exceed 25 feet in height and is not located within airport approach or imaginary surface zones associated with Watertown International Airport or Wheeler Sack Army Airfield.</w:t>
      </w:r>
    </w:p>
    <w:p w14:paraId="4D1EF153" w14:textId="77777777" w:rsidR="009A5070" w:rsidRDefault="00000000">
      <w:pPr>
        <w:spacing w:after="80"/>
        <w:ind w:left="720"/>
      </w:pPr>
      <w:r>
        <w:rPr>
          <w:b/>
        </w:rPr>
        <w:t xml:space="preserve">(4) Agricultural District Trigger: </w:t>
      </w:r>
      <w:r>
        <w:t>Actions requiring referral solely due to proximity to a certified agricultural district, except for: projects that disturb more than 1 acre or result in 50% or more impervious lot coverage; wind turbines; and battery storage facilities.</w:t>
      </w:r>
    </w:p>
    <w:p w14:paraId="371CC935" w14:textId="77777777" w:rsidR="009A5070" w:rsidRDefault="00000000">
      <w:pPr>
        <w:spacing w:after="80"/>
        <w:ind w:left="720"/>
      </w:pPr>
      <w:r>
        <w:rPr>
          <w:b/>
        </w:rPr>
        <w:t xml:space="preserve">(5) Accessory Structures and Uses: </w:t>
      </w:r>
      <w:r>
        <w:t>Site plans or variances for accessory structures, including garages, sheds, decks, pools, electric vehicle (EV) charging stations, and similar structures, unless: the structure exceeds 25 feet in height; the structure is directly adjacent to state or county property; or the structure is within airport takeoff approach zones (FAA Part 77 Imaginary Surfaces).</w:t>
      </w:r>
    </w:p>
    <w:p w14:paraId="665FB7BD" w14:textId="77777777" w:rsidR="009A5070" w:rsidRDefault="00000000">
      <w:pPr>
        <w:spacing w:after="80"/>
        <w:ind w:left="720"/>
      </w:pPr>
      <w:r>
        <w:rPr>
          <w:b/>
        </w:rPr>
        <w:t xml:space="preserve">(6) EV Charging Stations (Accessory Installations): </w:t>
      </w:r>
      <w:r>
        <w:t>EV charging stations installed as accessory infrastructure within existing parking lots, with the exception that large charging facilities, charging plazas as the primary use, or projects involving significant site reconstruction shall always require referral.</w:t>
      </w:r>
    </w:p>
    <w:p w14:paraId="0118C46D" w14:textId="77777777" w:rsidR="009A5070" w:rsidRDefault="00000000">
      <w:pPr>
        <w:spacing w:after="80"/>
        <w:ind w:left="720"/>
      </w:pPr>
      <w:r>
        <w:rPr>
          <w:b/>
        </w:rPr>
        <w:t xml:space="preserve">(7) Telecommunications Co-Location: </w:t>
      </w:r>
      <w:r>
        <w:t>Modification, replacement, or co-location of telecommunications equipment (e.g., antennae) on existing towers or structures, with the exception that the construction of new towers requires full county review.</w:t>
      </w:r>
    </w:p>
    <w:p w14:paraId="2E343941" w14:textId="77777777" w:rsidR="009A5070" w:rsidRDefault="00000000">
      <w:pPr>
        <w:spacing w:after="80"/>
        <w:ind w:left="720"/>
      </w:pPr>
      <w:r>
        <w:rPr>
          <w:b/>
        </w:rPr>
        <w:t xml:space="preserve">(8) On-site Consumption Solar and Small Accessory Energy Systems: </w:t>
      </w:r>
      <w:r>
        <w:t>On-site consumption solar installations, battery storage facilities, and accessory solar systems serving a principal use, with the explicit exception that utility-scale solar, battery storage facilities (as a primary use), and wind turbines always require county review.</w:t>
      </w:r>
    </w:p>
    <w:p w14:paraId="24853A2C" w14:textId="77777777" w:rsidR="009A5070" w:rsidRDefault="00000000">
      <w:pPr>
        <w:spacing w:after="80"/>
        <w:ind w:left="720"/>
      </w:pPr>
      <w:r>
        <w:rPr>
          <w:b/>
        </w:rPr>
        <w:t xml:space="preserve">(9) Temporary Uses: </w:t>
      </w:r>
      <w:r>
        <w:t>Uses that do not require building permits, have a duration of less than one year, and are considered temporary, including temporary construction trailers, seasonal structures, short-term RV permits, and farmers' markets or flea markets.</w:t>
      </w:r>
    </w:p>
    <w:p w14:paraId="26157ADF" w14:textId="77777777" w:rsidR="009A5070" w:rsidRDefault="00000000">
      <w:pPr>
        <w:spacing w:after="80"/>
        <w:ind w:left="720"/>
      </w:pPr>
      <w:r>
        <w:rPr>
          <w:b/>
        </w:rPr>
        <w:t xml:space="preserve">(10) Zoning Board Interpretations: </w:t>
      </w:r>
      <w:r>
        <w:t>Zoning interpretations rendered by the Zoning Board of Appeals, as purely local administrative determinations.</w:t>
      </w:r>
    </w:p>
    <w:p w14:paraId="211786C8" w14:textId="77777777" w:rsidR="009A5070" w:rsidRDefault="00000000">
      <w:pPr>
        <w:spacing w:after="80"/>
        <w:ind w:left="720"/>
      </w:pPr>
      <w:r>
        <w:rPr>
          <w:b/>
        </w:rPr>
        <w:t xml:space="preserve">(11) Administrative Zoning Amendments: </w:t>
      </w:r>
      <w:r>
        <w:t>Amendments to municipal zoning laws addressing fees, procedures, enforcement, and administrative corrections, which do not change land use patterns or development intensity.</w:t>
      </w:r>
    </w:p>
    <w:p w14:paraId="1E9A669C" w14:textId="77777777" w:rsidR="009A5070" w:rsidRDefault="00000000">
      <w:pPr>
        <w:spacing w:after="80"/>
        <w:ind w:left="720"/>
      </w:pPr>
      <w:r>
        <w:rPr>
          <w:b/>
        </w:rPr>
        <w:t xml:space="preserve">(12) Renewals or Extensions of Existing Approvals: </w:t>
      </w:r>
      <w:r>
        <w:t>Renewals or extensions of previously approved site plans or special permits that contain no material changes from previous approvals.</w:t>
      </w:r>
    </w:p>
    <w:p w14:paraId="245F367E" w14:textId="77777777" w:rsidR="009A5070" w:rsidRDefault="00000000">
      <w:pPr>
        <w:spacing w:after="120"/>
        <w:jc w:val="both"/>
      </w:pPr>
      <w:r>
        <w:rPr>
          <w:b/>
        </w:rPr>
        <w:lastRenderedPageBreak/>
        <w:t xml:space="preserve">BE IT FURTHER RESOLVED, </w:t>
      </w:r>
      <w:r>
        <w:t>that the Chief Executive Officer ([Supervisor / Mayor]) of the [Insert Municipality Name] is hereby authorized and directed to execute the reciprocal Intermunicipal Exemption Agreement with Jefferson County to formalize the implementation of this framework; and</w:t>
      </w:r>
    </w:p>
    <w:p w14:paraId="73BA4A5D" w14:textId="77777777" w:rsidR="009A5070" w:rsidRDefault="00000000">
      <w:pPr>
        <w:spacing w:after="120"/>
        <w:jc w:val="both"/>
      </w:pPr>
      <w:r>
        <w:rPr>
          <w:b/>
        </w:rPr>
        <w:t xml:space="preserve">BE IT FURTHER RESOLVED, </w:t>
      </w:r>
      <w:r>
        <w:t>that the Municipal Clerk is hereby directed to forward a certified copy of this Resolution, upon its adoption, together with the signed Intermunicipal Exemption Agreement, to the Jefferson County Department of Planning and Community Development, 175 Arsenal Street, Watertown, NY 13601.</w:t>
      </w:r>
    </w:p>
    <w:p w14:paraId="4CC3B806" w14:textId="77777777" w:rsidR="009A5070" w:rsidRDefault="00000000">
      <w:pPr>
        <w:spacing w:before="480" w:after="120"/>
      </w:pPr>
      <w:r>
        <w:rPr>
          <w:b/>
        </w:rPr>
        <w:t>MUNICIPAL CLERK'S CERTIFICATION</w:t>
      </w:r>
    </w:p>
    <w:p w14:paraId="0B77A582" w14:textId="77777777" w:rsidR="009A5070" w:rsidRDefault="00000000">
      <w:pPr>
        <w:jc w:val="both"/>
      </w:pPr>
      <w:r>
        <w:t>I, the undersigned, Clerk of the [Town/Village/City] of _______________________, Jefferson County, New York, do hereby certify that I have compared the foregoing copy of Resolution No. ____ of 2026 with the original thereof on file in my office, which was duly adopted by the governing Board of said municipality at a meeting held on the ____ day of ________________, 2026, and that the same is a true, correct, and complete copy of said Resolution.</w:t>
      </w:r>
      <w:r>
        <w:br/>
      </w:r>
      <w:r>
        <w:br/>
        <w:t>IN TESTIMONY WHEREOF, I have hereunto set my hand and affixed the official seal of said municipality this ____ day of ________________, 2026.</w:t>
      </w:r>
      <w:r>
        <w:br/>
      </w:r>
      <w:r>
        <w:br/>
      </w:r>
      <w:r>
        <w:br/>
      </w:r>
      <w:r>
        <w:br/>
      </w:r>
    </w:p>
    <w:p w14:paraId="08153237" w14:textId="77777777" w:rsidR="009A5070" w:rsidRDefault="00000000">
      <w:r>
        <w:rPr>
          <w:b/>
        </w:rPr>
        <w:t>_________________________________________</w:t>
      </w:r>
      <w:r>
        <w:rPr>
          <w:b/>
        </w:rPr>
        <w:br/>
      </w:r>
      <w:r>
        <w:t>Municipal Clerk</w:t>
      </w:r>
      <w:r>
        <w:br/>
        <w:t>[Affix Seal Here]</w:t>
      </w:r>
    </w:p>
    <w:sectPr w:rsidR="009A507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0520345">
    <w:abstractNumId w:val="8"/>
  </w:num>
  <w:num w:numId="2" w16cid:durableId="1808359321">
    <w:abstractNumId w:val="6"/>
  </w:num>
  <w:num w:numId="3" w16cid:durableId="1407219705">
    <w:abstractNumId w:val="5"/>
  </w:num>
  <w:num w:numId="4" w16cid:durableId="1436243473">
    <w:abstractNumId w:val="4"/>
  </w:num>
  <w:num w:numId="5" w16cid:durableId="1689215302">
    <w:abstractNumId w:val="7"/>
  </w:num>
  <w:num w:numId="6" w16cid:durableId="1702045925">
    <w:abstractNumId w:val="3"/>
  </w:num>
  <w:num w:numId="7" w16cid:durableId="676929913">
    <w:abstractNumId w:val="2"/>
  </w:num>
  <w:num w:numId="8" w16cid:durableId="1239023743">
    <w:abstractNumId w:val="1"/>
  </w:num>
  <w:num w:numId="9" w16cid:durableId="34860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A5070"/>
    <w:rsid w:val="00AA1D8D"/>
    <w:rsid w:val="00AF4124"/>
    <w:rsid w:val="00B47730"/>
    <w:rsid w:val="00CB0664"/>
    <w:rsid w:val="00EB17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468CB"/>
  <w14:defaultImageDpi w14:val="300"/>
  <w15:docId w15:val="{0288B774-66FA-40BF-9691-CC9218B2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Alicia Dewey</cp:lastModifiedBy>
  <cp:revision>2</cp:revision>
  <dcterms:created xsi:type="dcterms:W3CDTF">2026-07-10T16:38:00Z</dcterms:created>
  <dcterms:modified xsi:type="dcterms:W3CDTF">2026-07-10T16:38:00Z</dcterms:modified>
  <cp:category/>
</cp:coreProperties>
</file>